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2A6275" w:rsidRDefault="002A6275" w:rsidP="002A6275">
      <w:pPr>
        <w:pStyle w:val="NoSpacing"/>
        <w:ind w:left="-993"/>
        <w:rPr>
          <w:b/>
        </w:rPr>
      </w:pPr>
    </w:p>
    <w:p w:rsidR="002A6275" w:rsidRDefault="00C24CB6" w:rsidP="008E4714">
      <w:pPr>
        <w:pStyle w:val="NoSpacing"/>
        <w:ind w:left="-993"/>
        <w:rPr>
          <w:b/>
          <w:sz w:val="28"/>
          <w:szCs w:val="28"/>
        </w:rPr>
      </w:pPr>
      <w:r w:rsidRPr="002A6275">
        <w:rPr>
          <w:b/>
          <w:sz w:val="28"/>
          <w:szCs w:val="28"/>
        </w:rPr>
        <w:t>Large Lectures</w:t>
      </w:r>
      <w:r w:rsidR="00C661A8">
        <w:rPr>
          <w:b/>
          <w:sz w:val="28"/>
          <w:szCs w:val="28"/>
        </w:rPr>
        <w:t xml:space="preserve">: fostering </w:t>
      </w:r>
      <w:r w:rsidR="00C91CC9">
        <w:rPr>
          <w:b/>
          <w:sz w:val="28"/>
          <w:szCs w:val="28"/>
        </w:rPr>
        <w:t xml:space="preserve">higher levels of student </w:t>
      </w:r>
      <w:r w:rsidR="00C661A8">
        <w:rPr>
          <w:b/>
          <w:sz w:val="28"/>
          <w:szCs w:val="28"/>
        </w:rPr>
        <w:t>participation and engagement is hard but rewarding work</w:t>
      </w:r>
    </w:p>
    <w:p w:rsidR="008E4714" w:rsidRPr="008E4714" w:rsidRDefault="008E4714" w:rsidP="008E4714">
      <w:pPr>
        <w:pStyle w:val="NoSpacing"/>
        <w:ind w:left="-993"/>
        <w:rPr>
          <w:sz w:val="16"/>
          <w:szCs w:val="16"/>
        </w:rPr>
      </w:pPr>
    </w:p>
    <w:tbl>
      <w:tblPr>
        <w:tblStyle w:val="TableGrid"/>
        <w:tblW w:w="15877" w:type="dxa"/>
        <w:tblInd w:w="-885" w:type="dxa"/>
        <w:tblLook w:val="04A0" w:firstRow="1" w:lastRow="0" w:firstColumn="1" w:lastColumn="0" w:noHBand="0" w:noVBand="1"/>
      </w:tblPr>
      <w:tblGrid>
        <w:gridCol w:w="4395"/>
        <w:gridCol w:w="11482"/>
      </w:tblGrid>
      <w:tr w:rsidR="002A6275" w:rsidTr="002A6275">
        <w:tc>
          <w:tcPr>
            <w:tcW w:w="4395" w:type="dxa"/>
          </w:tcPr>
          <w:p w:rsidR="002A6275" w:rsidRPr="00026060" w:rsidRDefault="002A6275">
            <w:pPr>
              <w:rPr>
                <w:b/>
                <w:sz w:val="24"/>
                <w:szCs w:val="24"/>
              </w:rPr>
            </w:pPr>
            <w:r w:rsidRPr="00026060">
              <w:rPr>
                <w:b/>
                <w:sz w:val="24"/>
                <w:szCs w:val="24"/>
              </w:rPr>
              <w:t>Before</w:t>
            </w:r>
          </w:p>
          <w:p w:rsidR="002A6275" w:rsidRPr="00382369" w:rsidRDefault="002A6275">
            <w:pPr>
              <w:rPr>
                <w:sz w:val="16"/>
                <w:szCs w:val="16"/>
              </w:rPr>
            </w:pPr>
          </w:p>
          <w:p w:rsidR="002A6275" w:rsidRDefault="002A6275">
            <w:r w:rsidRPr="00AD1C5A">
              <w:rPr>
                <w:i/>
              </w:rPr>
              <w:t>‘Plannin</w:t>
            </w:r>
            <w:r w:rsidR="00E62321">
              <w:rPr>
                <w:i/>
              </w:rPr>
              <w:t xml:space="preserve">g and preparation prevent poor </w:t>
            </w:r>
            <w:r w:rsidRPr="00AD1C5A">
              <w:rPr>
                <w:i/>
              </w:rPr>
              <w:t>performan</w:t>
            </w:r>
            <w:bookmarkStart w:id="0" w:name="_GoBack"/>
            <w:bookmarkEnd w:id="0"/>
            <w:r w:rsidRPr="00AD1C5A">
              <w:rPr>
                <w:i/>
              </w:rPr>
              <w:t>ce’</w:t>
            </w:r>
            <w:r w:rsidR="00E62321">
              <w:t xml:space="preserve"> </w:t>
            </w:r>
            <w:r w:rsidR="008E4714">
              <w:t>so avoid ‘dead time’. G</w:t>
            </w:r>
            <w:r>
              <w:t>et organised and think through the logistics e.g. how best to distribute hand</w:t>
            </w:r>
            <w:r w:rsidR="00E62321">
              <w:t>-</w:t>
            </w:r>
            <w:r>
              <w:t>outs? Can students read your slides? What’s your ‘Plan B’ if the IT won’t work?</w:t>
            </w:r>
          </w:p>
          <w:p w:rsidR="002A6275" w:rsidRPr="002A6275" w:rsidRDefault="002A6275">
            <w:pPr>
              <w:rPr>
                <w:sz w:val="16"/>
                <w:szCs w:val="16"/>
              </w:rPr>
            </w:pPr>
          </w:p>
          <w:p w:rsidR="002A6275" w:rsidRDefault="002A6275">
            <w:r>
              <w:t xml:space="preserve">Try distributing a pre-lecture quiz via </w:t>
            </w:r>
            <w:r w:rsidR="002979BC">
              <w:t xml:space="preserve">your </w:t>
            </w:r>
            <w:proofErr w:type="gramStart"/>
            <w:r w:rsidR="002979BC">
              <w:t>VLE</w:t>
            </w:r>
            <w:r>
              <w:t xml:space="preserve"> which</w:t>
            </w:r>
            <w:proofErr w:type="gramEnd"/>
            <w:r>
              <w:t xml:space="preserve"> y</w:t>
            </w:r>
            <w:r w:rsidR="00382369">
              <w:t>ou can then refer to in the</w:t>
            </w:r>
            <w:r>
              <w:t xml:space="preserve"> </w:t>
            </w:r>
            <w:r w:rsidR="00382369">
              <w:t>lecture</w:t>
            </w:r>
            <w:r>
              <w:t>.</w:t>
            </w:r>
          </w:p>
          <w:p w:rsidR="002A6275" w:rsidRPr="002A6275" w:rsidRDefault="002A6275">
            <w:pPr>
              <w:rPr>
                <w:sz w:val="16"/>
                <w:szCs w:val="16"/>
              </w:rPr>
            </w:pPr>
          </w:p>
          <w:p w:rsidR="002A6275" w:rsidRDefault="002A6275">
            <w:r>
              <w:t xml:space="preserve">Make your slides available beforehand on </w:t>
            </w:r>
            <w:r w:rsidR="002979BC">
              <w:t>the VLE</w:t>
            </w:r>
            <w:r>
              <w:t xml:space="preserve"> (in your first session tell students to expect this as standard and make it clear too that not everything will be on the slides so attendance will be important).</w:t>
            </w:r>
          </w:p>
          <w:p w:rsidR="002A6275" w:rsidRPr="002A6275" w:rsidRDefault="002A6275">
            <w:pPr>
              <w:rPr>
                <w:sz w:val="16"/>
                <w:szCs w:val="16"/>
              </w:rPr>
            </w:pPr>
          </w:p>
          <w:p w:rsidR="002A6275" w:rsidRDefault="002A6275" w:rsidP="003D2FCB">
            <w:r>
              <w:t xml:space="preserve">If the timetable allows it get there before your students </w:t>
            </w:r>
            <w:r w:rsidR="003D2FCB">
              <w:t>to say hello/</w:t>
            </w:r>
            <w:r>
              <w:t xml:space="preserve">chat to </w:t>
            </w:r>
            <w:r w:rsidR="003D2FCB">
              <w:t>people</w:t>
            </w:r>
            <w:r>
              <w:t xml:space="preserve"> as they arrive. If it doesn’t</w:t>
            </w:r>
            <w:r w:rsidR="00382369">
              <w:t>, then</w:t>
            </w:r>
            <w:r>
              <w:t xml:space="preserve"> ‘work the corridor’.</w:t>
            </w:r>
          </w:p>
        </w:tc>
        <w:tc>
          <w:tcPr>
            <w:tcW w:w="11482" w:type="dxa"/>
          </w:tcPr>
          <w:p w:rsidR="002A6275" w:rsidRPr="00026060" w:rsidRDefault="002A6275">
            <w:pPr>
              <w:rPr>
                <w:b/>
                <w:sz w:val="24"/>
                <w:szCs w:val="24"/>
              </w:rPr>
            </w:pPr>
            <w:r w:rsidRPr="00026060">
              <w:rPr>
                <w:b/>
                <w:sz w:val="24"/>
                <w:szCs w:val="24"/>
              </w:rPr>
              <w:t>During</w:t>
            </w:r>
          </w:p>
          <w:p w:rsidR="002A6275" w:rsidRPr="00382369" w:rsidRDefault="002A6275" w:rsidP="009A5AEB">
            <w:pPr>
              <w:rPr>
                <w:sz w:val="16"/>
                <w:szCs w:val="16"/>
              </w:rPr>
            </w:pPr>
          </w:p>
          <w:p w:rsidR="002A6275" w:rsidRDefault="002A6275" w:rsidP="009A5AEB">
            <w:r w:rsidRPr="00774B7B">
              <w:rPr>
                <w:b/>
              </w:rPr>
              <w:t>The Beginning</w:t>
            </w:r>
            <w:r>
              <w:t xml:space="preserve"> </w:t>
            </w:r>
            <w:r w:rsidRPr="002A6275">
              <w:rPr>
                <w:b/>
                <w:u w:val="single"/>
              </w:rPr>
              <w:t>or</w:t>
            </w:r>
            <w:r w:rsidRPr="002A6275">
              <w:rPr>
                <w:b/>
              </w:rPr>
              <w:t xml:space="preserve"> ‘Tell</w:t>
            </w:r>
            <w:r w:rsidR="00382369">
              <w:rPr>
                <w:b/>
              </w:rPr>
              <w:t>ing</w:t>
            </w:r>
            <w:r w:rsidRPr="002A6275">
              <w:rPr>
                <w:b/>
              </w:rPr>
              <w:t xml:space="preserve"> them what you’re going to tell them’ </w:t>
            </w:r>
            <w:r>
              <w:t xml:space="preserve">by outlining the programme for the lecture. If it’s your first lecture make the format and expectations explicit; how is it all going to work? For example explain that you’ll be getting them to do things at various points not just sitting there taking notes. Explain why, i.e. it aids learning and plays to a variety of learning styles not just auditory. Let them know how/when they can ask questions or get in touch with you outside of lectures. </w:t>
            </w:r>
            <w:r w:rsidR="003D2FCB">
              <w:t xml:space="preserve">Start as you mean to go on i.e. with a bang and expecting students to be active participants. You could use a quote, a question, a statistic, make reference to a recent event, pose a problem, or tell an anecdote/story to get their attention and get them thinking. </w:t>
            </w:r>
            <w:r>
              <w:t>Follow up on any previous homework tasks.</w:t>
            </w:r>
          </w:p>
          <w:p w:rsidR="002A6275" w:rsidRPr="002A6275" w:rsidRDefault="002A6275" w:rsidP="009A5AEB">
            <w:pPr>
              <w:rPr>
                <w:b/>
                <w:sz w:val="16"/>
                <w:szCs w:val="16"/>
              </w:rPr>
            </w:pPr>
          </w:p>
          <w:p w:rsidR="002A6275" w:rsidRDefault="002A6275" w:rsidP="009A5AEB">
            <w:r>
              <w:rPr>
                <w:b/>
              </w:rPr>
              <w:t>The M</w:t>
            </w:r>
            <w:r w:rsidRPr="00774B7B">
              <w:rPr>
                <w:b/>
              </w:rPr>
              <w:t>iddle</w:t>
            </w:r>
            <w:r>
              <w:t xml:space="preserve"> </w:t>
            </w:r>
            <w:r w:rsidRPr="002A6275">
              <w:rPr>
                <w:b/>
                <w:u w:val="single"/>
              </w:rPr>
              <w:t>or</w:t>
            </w:r>
            <w:r w:rsidRPr="002A6275">
              <w:rPr>
                <w:b/>
              </w:rPr>
              <w:t xml:space="preserve"> ‘Tell</w:t>
            </w:r>
            <w:r w:rsidR="008E4714">
              <w:rPr>
                <w:b/>
              </w:rPr>
              <w:t>ing</w:t>
            </w:r>
            <w:r w:rsidRPr="002A6275">
              <w:rPr>
                <w:b/>
              </w:rPr>
              <w:t xml:space="preserve"> them’</w:t>
            </w:r>
            <w:r w:rsidR="008E4714">
              <w:t xml:space="preserve"> remembering though</w:t>
            </w:r>
            <w:r>
              <w:t xml:space="preserve"> to break the time up every 15-20 minutes with:</w:t>
            </w:r>
          </w:p>
          <w:p w:rsidR="002A6275" w:rsidRDefault="002A6275" w:rsidP="002A6275">
            <w:pPr>
              <w:pStyle w:val="ListParagraph"/>
              <w:numPr>
                <w:ilvl w:val="0"/>
                <w:numId w:val="2"/>
              </w:numPr>
            </w:pPr>
            <w:r>
              <w:t>tasks and exercises such as ‘turn-to-your-neighbour’; ‘take-a-minute lists’; ‘show-of-hands  polling’; ‘buzz groups’; ‘spot the deliberate mistake’/’nobody knows’; ‘think-pair-share’; ‘think-pair-square-share’; ‘sub-group discussions’</w:t>
            </w:r>
            <w:r w:rsidR="008E4714">
              <w:t>;</w:t>
            </w:r>
          </w:p>
          <w:p w:rsidR="002A6275" w:rsidRDefault="002A6275" w:rsidP="002A6275">
            <w:pPr>
              <w:pStyle w:val="ListParagraph"/>
              <w:numPr>
                <w:ilvl w:val="0"/>
                <w:numId w:val="2"/>
              </w:numPr>
            </w:pPr>
            <w:proofErr w:type="gramStart"/>
            <w:r>
              <w:t>visuals</w:t>
            </w:r>
            <w:proofErr w:type="gramEnd"/>
            <w:r>
              <w:t xml:space="preserve">; multi-media; props; demos (invite </w:t>
            </w:r>
            <w:r w:rsidR="008E4714">
              <w:t>[</w:t>
            </w:r>
            <w:r w:rsidR="008E4714" w:rsidRPr="008E4714">
              <w:rPr>
                <w:i/>
              </w:rPr>
              <w:t>confident</w:t>
            </w:r>
            <w:r w:rsidR="008E4714">
              <w:t xml:space="preserve">] </w:t>
            </w:r>
            <w:r w:rsidR="00E62321">
              <w:t>students out to help</w:t>
            </w:r>
            <w:r>
              <w:t>); simulations.</w:t>
            </w:r>
          </w:p>
          <w:p w:rsidR="002A6275" w:rsidRPr="002A6275" w:rsidRDefault="002A6275" w:rsidP="004C6A4E">
            <w:pPr>
              <w:rPr>
                <w:b/>
                <w:sz w:val="16"/>
                <w:szCs w:val="16"/>
              </w:rPr>
            </w:pPr>
          </w:p>
          <w:p w:rsidR="002A6275" w:rsidRDefault="002A6275" w:rsidP="002A6275">
            <w:r w:rsidRPr="002A6275">
              <w:rPr>
                <w:b/>
              </w:rPr>
              <w:t>The End</w:t>
            </w:r>
            <w:r>
              <w:t xml:space="preserve"> </w:t>
            </w:r>
            <w:r w:rsidRPr="002A6275">
              <w:rPr>
                <w:b/>
                <w:u w:val="single"/>
              </w:rPr>
              <w:t>or</w:t>
            </w:r>
            <w:r w:rsidRPr="002A6275">
              <w:rPr>
                <w:b/>
              </w:rPr>
              <w:t xml:space="preserve"> ‘Tell</w:t>
            </w:r>
            <w:r w:rsidR="008E4714">
              <w:rPr>
                <w:b/>
              </w:rPr>
              <w:t>ing</w:t>
            </w:r>
            <w:r w:rsidRPr="002A6275">
              <w:rPr>
                <w:b/>
              </w:rPr>
              <w:t xml:space="preserve"> them what you’ve told them’</w:t>
            </w:r>
            <w:r>
              <w:t xml:space="preserve"> by recapping the main points and checking o</w:t>
            </w:r>
            <w:r w:rsidR="008E4714">
              <w:t>n students’ understanding. W</w:t>
            </w:r>
            <w:r>
              <w:t>ha</w:t>
            </w:r>
            <w:r w:rsidR="008E4714">
              <w:t>t’s been most important /useful</w:t>
            </w:r>
            <w:r>
              <w:t xml:space="preserve"> for them? What questions do they (still) have? Set out </w:t>
            </w:r>
            <w:r w:rsidR="003D2FCB">
              <w:t xml:space="preserve">any </w:t>
            </w:r>
            <w:r>
              <w:t>tasks for completion ahea</w:t>
            </w:r>
            <w:r w:rsidR="003D2FCB">
              <w:t xml:space="preserve">d of the next lecture. Remind </w:t>
            </w:r>
            <w:r>
              <w:t>students of your availability in the coming week e.g. ‘office hours’, drop-ins, question boxes,</w:t>
            </w:r>
            <w:r w:rsidR="003D2FCB">
              <w:t xml:space="preserve"> discussion forums, e-mail etc. </w:t>
            </w:r>
            <w:r w:rsidR="008E4714">
              <w:t>Remind</w:t>
            </w:r>
            <w:r>
              <w:t xml:space="preserve"> </w:t>
            </w:r>
            <w:r w:rsidR="003D2FCB">
              <w:t>students</w:t>
            </w:r>
            <w:r>
              <w:t xml:space="preserve"> what the focus for next</w:t>
            </w:r>
            <w:r w:rsidR="008E4714">
              <w:t xml:space="preserve"> week’s lecture is going to be. If you can, be the last one out - i</w:t>
            </w:r>
            <w:r>
              <w:t xml:space="preserve">f </w:t>
            </w:r>
            <w:r w:rsidR="008E4714">
              <w:t xml:space="preserve">you </w:t>
            </w:r>
            <w:r>
              <w:t xml:space="preserve">stick around for a bit </w:t>
            </w:r>
            <w:r w:rsidR="008E4714">
              <w:t xml:space="preserve">you can answer </w:t>
            </w:r>
            <w:r>
              <w:t>queries from students who didn’t fe</w:t>
            </w:r>
            <w:r w:rsidR="008E4714">
              <w:t xml:space="preserve">el able to </w:t>
            </w:r>
            <w:r>
              <w:t xml:space="preserve">speak in </w:t>
            </w:r>
            <w:r w:rsidR="008E4714">
              <w:t>the lecture</w:t>
            </w:r>
            <w:r>
              <w:t>.</w:t>
            </w:r>
          </w:p>
          <w:p w:rsidR="002A6275" w:rsidRPr="002A6275" w:rsidRDefault="002A6275" w:rsidP="002A6275">
            <w:pPr>
              <w:rPr>
                <w:sz w:val="16"/>
                <w:szCs w:val="16"/>
              </w:rPr>
            </w:pPr>
          </w:p>
        </w:tc>
      </w:tr>
      <w:tr w:rsidR="002A6275" w:rsidTr="002979BC">
        <w:trPr>
          <w:trHeight w:val="3573"/>
        </w:trPr>
        <w:tc>
          <w:tcPr>
            <w:tcW w:w="15877" w:type="dxa"/>
            <w:gridSpan w:val="2"/>
          </w:tcPr>
          <w:p w:rsidR="002A6275" w:rsidRDefault="002A6275" w:rsidP="002A6275">
            <w:pPr>
              <w:rPr>
                <w:b/>
                <w:sz w:val="24"/>
                <w:szCs w:val="24"/>
              </w:rPr>
            </w:pPr>
            <w:r w:rsidRPr="00026060">
              <w:rPr>
                <w:b/>
                <w:sz w:val="24"/>
                <w:szCs w:val="24"/>
              </w:rPr>
              <w:t>Throughout</w:t>
            </w:r>
          </w:p>
          <w:p w:rsidR="00382369" w:rsidRPr="002979BC" w:rsidRDefault="00382369" w:rsidP="002A6275">
            <w:pPr>
              <w:rPr>
                <w:b/>
                <w:sz w:val="16"/>
                <w:szCs w:val="16"/>
              </w:rPr>
            </w:pPr>
          </w:p>
          <w:p w:rsidR="002A6275" w:rsidRDefault="00E62321" w:rsidP="003D2FCB">
            <w:r w:rsidRPr="003D2FCB">
              <w:rPr>
                <w:b/>
              </w:rPr>
              <w:t xml:space="preserve">It’s all about the </w:t>
            </w:r>
            <w:r w:rsidRPr="00E62321">
              <w:rPr>
                <w:b/>
              </w:rPr>
              <w:t>relationships</w:t>
            </w:r>
            <w:r>
              <w:rPr>
                <w:b/>
              </w:rPr>
              <w:t xml:space="preserve"> really</w:t>
            </w:r>
            <w:r w:rsidRPr="00E62321">
              <w:rPr>
                <w:b/>
              </w:rPr>
              <w:t xml:space="preserve"> </w:t>
            </w:r>
            <w:r w:rsidRPr="00E62321">
              <w:rPr>
                <w:b/>
                <w:u w:val="single"/>
              </w:rPr>
              <w:t>or</w:t>
            </w:r>
            <w:r w:rsidRPr="00E62321">
              <w:rPr>
                <w:b/>
              </w:rPr>
              <w:t xml:space="preserve"> </w:t>
            </w:r>
            <w:r w:rsidR="002A6275" w:rsidRPr="00E62321">
              <w:rPr>
                <w:b/>
              </w:rPr>
              <w:t>‘</w:t>
            </w:r>
            <w:proofErr w:type="spellStart"/>
            <w:r w:rsidR="002A6275" w:rsidRPr="00E62321">
              <w:rPr>
                <w:b/>
              </w:rPr>
              <w:t>Tain’t</w:t>
            </w:r>
            <w:proofErr w:type="spellEnd"/>
            <w:r w:rsidR="002A6275" w:rsidRPr="003D2FCB">
              <w:rPr>
                <w:b/>
              </w:rPr>
              <w:t xml:space="preserve"> what you do it’s the way that you do it’</w:t>
            </w:r>
            <w:r w:rsidR="008E6E7C">
              <w:t>: s</w:t>
            </w:r>
            <w:r w:rsidR="002A6275">
              <w:t xml:space="preserve">tyle &amp; tone are crucial e.g. </w:t>
            </w:r>
            <w:r w:rsidR="002A6275" w:rsidRPr="003D2FCB">
              <w:rPr>
                <w:i/>
              </w:rPr>
              <w:t>‘Ah I’m glad you asked me that’</w:t>
            </w:r>
            <w:r w:rsidR="002A6275">
              <w:t xml:space="preserve">, </w:t>
            </w:r>
            <w:r w:rsidR="002A6275" w:rsidRPr="003D2FCB">
              <w:rPr>
                <w:i/>
              </w:rPr>
              <w:t>‘Good question…’</w:t>
            </w:r>
            <w:r w:rsidR="002A6275">
              <w:t xml:space="preserve">, </w:t>
            </w:r>
            <w:r w:rsidR="002A6275" w:rsidRPr="003D2FCB">
              <w:rPr>
                <w:i/>
              </w:rPr>
              <w:t>‘Yes excellent that leads us nicely onto….’, ‘I welcome questions, don’t be afraid to put your hand up if something’s not clear’</w:t>
            </w:r>
            <w:r w:rsidR="003D2FCB">
              <w:t>. Ask ‘friendly’ questions</w:t>
            </w:r>
            <w:r w:rsidR="00665049">
              <w:t xml:space="preserve"> yourself</w:t>
            </w:r>
            <w:r w:rsidR="003D2FCB">
              <w:t>. G</w:t>
            </w:r>
            <w:r w:rsidR="002A6275">
              <w:t>ive praise &amp; recognition for correct / imaginative answers &amp; find something positive &amp; encouraging to say ab</w:t>
            </w:r>
            <w:r w:rsidR="00C91CC9">
              <w:t>out students’ responses, even when</w:t>
            </w:r>
            <w:r w:rsidR="002A6275">
              <w:t xml:space="preserve"> they’re a bit off beam (they’ve taken quite a risk in speaking out in fr</w:t>
            </w:r>
            <w:r>
              <w:t>ont of such a large group). U</w:t>
            </w:r>
            <w:r w:rsidR="002A6275">
              <w:t>se students’ names</w:t>
            </w:r>
            <w:r w:rsidR="008E6E7C">
              <w:t xml:space="preserve"> whenever you can</w:t>
            </w:r>
            <w:r w:rsidR="002A6275">
              <w:t xml:space="preserve">. Try name-checking student queries that you’ve received between lectures via e-mail or in tutorials </w:t>
            </w:r>
            <w:r>
              <w:rPr>
                <w:i/>
              </w:rPr>
              <w:t xml:space="preserve">(e.g. </w:t>
            </w:r>
            <w:r w:rsidR="002A6275" w:rsidRPr="003D2FCB">
              <w:rPr>
                <w:i/>
              </w:rPr>
              <w:t>‘</w:t>
            </w:r>
            <w:proofErr w:type="spellStart"/>
            <w:r w:rsidR="002A6275" w:rsidRPr="003D2FCB">
              <w:rPr>
                <w:i/>
              </w:rPr>
              <w:t>Saiqa</w:t>
            </w:r>
            <w:proofErr w:type="spellEnd"/>
            <w:r w:rsidR="002A6275" w:rsidRPr="003D2FCB">
              <w:rPr>
                <w:i/>
              </w:rPr>
              <w:t xml:space="preserve"> was asking me the other day about….’</w:t>
            </w:r>
            <w:r w:rsidR="002A6275">
              <w:t xml:space="preserve">) </w:t>
            </w:r>
            <w:r>
              <w:rPr>
                <w:b/>
                <w:u w:val="single"/>
              </w:rPr>
              <w:t>or</w:t>
            </w:r>
            <w:r w:rsidR="008E6E7C">
              <w:t xml:space="preserve"> A</w:t>
            </w:r>
            <w:r w:rsidR="002A6275">
              <w:t>sk students to give you t</w:t>
            </w:r>
            <w:r w:rsidR="00286454">
              <w:t xml:space="preserve">heir first name before </w:t>
            </w:r>
            <w:r w:rsidR="008E6E7C">
              <w:t>they ask</w:t>
            </w:r>
            <w:r w:rsidR="00286454">
              <w:t xml:space="preserve"> /</w:t>
            </w:r>
            <w:r w:rsidR="008E6E7C">
              <w:t>answer a question</w:t>
            </w:r>
            <w:r w:rsidR="002A6275">
              <w:t xml:space="preserve"> &amp; then use that name when you respond in turn </w:t>
            </w:r>
            <w:r>
              <w:rPr>
                <w:b/>
                <w:u w:val="single"/>
              </w:rPr>
              <w:t>or</w:t>
            </w:r>
            <w:r w:rsidR="008E6E7C">
              <w:t xml:space="preserve"> G</w:t>
            </w:r>
            <w:r w:rsidR="002A6275">
              <w:t xml:space="preserve">ive </w:t>
            </w:r>
            <w:r w:rsidR="008E6E7C">
              <w:t>every student</w:t>
            </w:r>
            <w:r w:rsidR="002A6275">
              <w:t xml:space="preserve"> a name card to prop up in front of them whenever they’re in your lectures. Be open without being naive e.g. share how you felt when you first encountered the topic but </w:t>
            </w:r>
            <w:proofErr w:type="gramStart"/>
            <w:r w:rsidR="002A6275">
              <w:t>don’t</w:t>
            </w:r>
            <w:proofErr w:type="gramEnd"/>
            <w:r w:rsidR="002A6275">
              <w:t xml:space="preserve"> give out your home phone number! Observe your audience as closely as </w:t>
            </w:r>
            <w:r w:rsidR="00286454">
              <w:t>(</w:t>
            </w:r>
            <w:r w:rsidR="002A6275">
              <w:t>hopefully</w:t>
            </w:r>
            <w:r w:rsidR="00286454">
              <w:t>)</w:t>
            </w:r>
            <w:r>
              <w:t xml:space="preserve"> they’re observing you.  N</w:t>
            </w:r>
            <w:r w:rsidR="00C91CC9">
              <w:t>ot everyone will be</w:t>
            </w:r>
            <w:r w:rsidR="002A6275">
              <w:t xml:space="preserve"> ready </w:t>
            </w:r>
            <w:r>
              <w:t xml:space="preserve">or </w:t>
            </w:r>
            <w:r w:rsidR="002A6275">
              <w:t xml:space="preserve">able to speak up or </w:t>
            </w:r>
            <w:r>
              <w:t xml:space="preserve">to </w:t>
            </w:r>
            <w:r w:rsidR="002A6275">
              <w:t>come to the front to help you demonstrate something so don’t put people on the spot until</w:t>
            </w:r>
            <w:r>
              <w:t xml:space="preserve"> you’re sure they can handle it </w:t>
            </w:r>
            <w:r>
              <w:rPr>
                <w:b/>
                <w:u w:val="single"/>
              </w:rPr>
              <w:t>and</w:t>
            </w:r>
            <w:r w:rsidR="002A6275">
              <w:t xml:space="preserve"> if everyone’s scribbling away and not looking at you perhaps you need to slow down a bit.</w:t>
            </w:r>
          </w:p>
          <w:p w:rsidR="002A6275" w:rsidRPr="00026060" w:rsidRDefault="002A6275" w:rsidP="002A6275">
            <w:pPr>
              <w:rPr>
                <w:b/>
                <w:sz w:val="24"/>
                <w:szCs w:val="24"/>
              </w:rPr>
            </w:pPr>
            <w:r w:rsidRPr="003D2FCB">
              <w:rPr>
                <w:b/>
              </w:rPr>
              <w:t>Own the space</w:t>
            </w:r>
            <w:r w:rsidR="003D2FCB">
              <w:t xml:space="preserve">: </w:t>
            </w:r>
            <w:r w:rsidR="008E6E7C">
              <w:t>w</w:t>
            </w:r>
            <w:r>
              <w:t>here</w:t>
            </w:r>
            <w:r w:rsidR="008E6E7C">
              <w:t>/if</w:t>
            </w:r>
            <w:r>
              <w:t xml:space="preserve"> you can, get mobile. You can make the experience less anonymous by physically closing the gap between yourself &amp; students </w:t>
            </w:r>
            <w:r w:rsidRPr="00286454">
              <w:rPr>
                <w:i/>
              </w:rPr>
              <w:t xml:space="preserve">(* </w:t>
            </w:r>
            <w:r w:rsidR="00C91CC9">
              <w:rPr>
                <w:i/>
              </w:rPr>
              <w:t xml:space="preserve">Remember though that </w:t>
            </w:r>
            <w:r w:rsidRPr="00286454">
              <w:rPr>
                <w:i/>
              </w:rPr>
              <w:t>some learning support statements may mean that your mobility has to be limited e.g. if a student needs to lip read)</w:t>
            </w:r>
            <w:r>
              <w:t>.</w:t>
            </w:r>
          </w:p>
        </w:tc>
      </w:tr>
    </w:tbl>
    <w:p w:rsidR="008E4714" w:rsidRPr="008E4714" w:rsidRDefault="008E4714" w:rsidP="008E4714">
      <w:pPr>
        <w:rPr>
          <w:sz w:val="16"/>
          <w:szCs w:val="16"/>
        </w:rPr>
      </w:pPr>
    </w:p>
    <w:sectPr w:rsidR="008E4714" w:rsidRPr="008E4714" w:rsidSect="00AD1C5A">
      <w:pgSz w:w="16838" w:h="11906" w:orient="landscape" w:code="9"/>
      <w:pgMar w:top="42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7627"/>
    <w:multiLevelType w:val="hybridMultilevel"/>
    <w:tmpl w:val="FB547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E91225"/>
    <w:multiLevelType w:val="hybridMultilevel"/>
    <w:tmpl w:val="A334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B6"/>
    <w:rsid w:val="00026060"/>
    <w:rsid w:val="00286454"/>
    <w:rsid w:val="002979BC"/>
    <w:rsid w:val="002A6275"/>
    <w:rsid w:val="00382369"/>
    <w:rsid w:val="003D2FCB"/>
    <w:rsid w:val="004126BD"/>
    <w:rsid w:val="004806FC"/>
    <w:rsid w:val="004C6A4E"/>
    <w:rsid w:val="00665049"/>
    <w:rsid w:val="00774B7B"/>
    <w:rsid w:val="007E77BC"/>
    <w:rsid w:val="008E4714"/>
    <w:rsid w:val="008E6E7C"/>
    <w:rsid w:val="008F6990"/>
    <w:rsid w:val="009A5AEB"/>
    <w:rsid w:val="00AD1C5A"/>
    <w:rsid w:val="00B23238"/>
    <w:rsid w:val="00C24CB6"/>
    <w:rsid w:val="00C661A8"/>
    <w:rsid w:val="00C91CC9"/>
    <w:rsid w:val="00DD0BC5"/>
    <w:rsid w:val="00E52AF8"/>
    <w:rsid w:val="00E6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7C73A178"/>
  <w15:docId w15:val="{096CF872-F51E-476F-A1CA-E002AA05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060"/>
    <w:pPr>
      <w:ind w:left="720"/>
      <w:contextualSpacing/>
    </w:pPr>
  </w:style>
  <w:style w:type="paragraph" w:styleId="NoSpacing">
    <w:name w:val="No Spacing"/>
    <w:uiPriority w:val="1"/>
    <w:qFormat/>
    <w:rsid w:val="002A6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O'Hara</dc:creator>
  <cp:lastModifiedBy>Mark O'Hara</cp:lastModifiedBy>
  <cp:revision>3</cp:revision>
  <dcterms:created xsi:type="dcterms:W3CDTF">2019-11-28T13:57:00Z</dcterms:created>
  <dcterms:modified xsi:type="dcterms:W3CDTF">2020-02-28T12:29:00Z</dcterms:modified>
</cp:coreProperties>
</file>